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A0" w:rsidRDefault="00B959A0" w:rsidP="006779F4">
      <w:pPr>
        <w:pStyle w:val="Default"/>
        <w:rPr>
          <w:color w:val="auto"/>
        </w:rPr>
      </w:pPr>
      <w:bookmarkStart w:id="0" w:name="_GoBack"/>
      <w:bookmarkEnd w:id="0"/>
    </w:p>
    <w:tbl>
      <w:tblPr>
        <w:tblStyle w:val="Saretaduntaula"/>
        <w:tblW w:w="0" w:type="auto"/>
        <w:tblLook w:val="04A0" w:firstRow="1" w:lastRow="0" w:firstColumn="1" w:lastColumn="0" w:noHBand="0" w:noVBand="1"/>
      </w:tblPr>
      <w:tblGrid>
        <w:gridCol w:w="8494"/>
      </w:tblGrid>
      <w:tr w:rsidR="006654B7" w:rsidTr="000D68BA">
        <w:tc>
          <w:tcPr>
            <w:tcW w:w="8644" w:type="dxa"/>
            <w:shd w:val="clear" w:color="auto" w:fill="DAEEF3" w:themeFill="accent5" w:themeFillTint="33"/>
          </w:tcPr>
          <w:p w:rsidR="006654B7" w:rsidRPr="000D68BA" w:rsidRDefault="006654B7" w:rsidP="006654B7">
            <w:pPr>
              <w:pStyle w:val="Default"/>
              <w:jc w:val="center"/>
              <w:rPr>
                <w:b/>
                <w:color w:val="auto"/>
              </w:rPr>
            </w:pPr>
          </w:p>
          <w:p w:rsidR="006654B7" w:rsidRPr="000D68BA" w:rsidRDefault="006654B7" w:rsidP="006654B7">
            <w:pPr>
              <w:jc w:val="center"/>
              <w:rPr>
                <w:rFonts w:ascii="Arial" w:hAnsi="Arial" w:cs="Arial"/>
                <w:b/>
              </w:rPr>
            </w:pPr>
            <w:r>
              <w:rPr>
                <w:rFonts w:ascii="Arial" w:hAnsi="Arial"/>
                <w:b/>
              </w:rPr>
              <w:t>KONTSULTA PUBLIKOA, GARAPENERAKO LANKIDETZARAKO «IGNACIO ELLACURÍA» SARIAREN DEKRETU-PROIEKTUA PRESTATU AURRETIK.</w:t>
            </w:r>
          </w:p>
          <w:p w:rsidR="006654B7" w:rsidRDefault="006654B7" w:rsidP="006779F4">
            <w:pPr>
              <w:pStyle w:val="Default"/>
              <w:rPr>
                <w:color w:val="auto"/>
              </w:rPr>
            </w:pPr>
          </w:p>
          <w:p w:rsidR="006654B7" w:rsidRDefault="006654B7" w:rsidP="006779F4">
            <w:pPr>
              <w:pStyle w:val="Default"/>
              <w:rPr>
                <w:color w:val="auto"/>
              </w:rPr>
            </w:pPr>
          </w:p>
        </w:tc>
      </w:tr>
    </w:tbl>
    <w:p w:rsidR="006654B7" w:rsidRDefault="006654B7" w:rsidP="006779F4">
      <w:pPr>
        <w:pStyle w:val="Default"/>
        <w:rPr>
          <w:color w:val="auto"/>
        </w:rPr>
      </w:pPr>
    </w:p>
    <w:p w:rsidR="00237C97" w:rsidRPr="00310CFB" w:rsidRDefault="00237C97" w:rsidP="00372081">
      <w:pPr>
        <w:pStyle w:val="Default"/>
        <w:spacing w:before="120" w:after="120" w:line="276" w:lineRule="auto"/>
        <w:rPr>
          <w:color w:val="auto"/>
          <w:sz w:val="22"/>
          <w:szCs w:val="22"/>
        </w:rPr>
      </w:pPr>
    </w:p>
    <w:p w:rsidR="006779F4" w:rsidRPr="00372081" w:rsidRDefault="00F109C3" w:rsidP="00372081">
      <w:pPr>
        <w:pStyle w:val="Default"/>
        <w:spacing w:before="120" w:after="120" w:line="276" w:lineRule="auto"/>
        <w:ind w:firstLine="708"/>
        <w:jc w:val="both"/>
        <w:rPr>
          <w:rFonts w:ascii="Arial" w:eastAsia="Times New Roman" w:hAnsi="Arial" w:cs="Arial"/>
          <w:color w:val="auto"/>
          <w:sz w:val="22"/>
          <w:szCs w:val="22"/>
        </w:rPr>
      </w:pPr>
      <w:r>
        <w:rPr>
          <w:rFonts w:ascii="Arial" w:hAnsi="Arial"/>
          <w:color w:val="auto"/>
          <w:sz w:val="22"/>
          <w:szCs w:val="22"/>
        </w:rPr>
        <w:t xml:space="preserve">Administrazio Publikoen Administrazio Prozedura Erkideari buruzko urriaren 1eko 39/2015 Legearen 133. artikuluan ezarritakoa betez, aldez aurreko kontsulta egiten da prestatuko den arauak uki ditzakeen pertsonen eta ordezkaritza handiena duten erakundeen iritzia ezagutzeko honako honi buruz: </w:t>
      </w:r>
    </w:p>
    <w:p w:rsidR="00237C97" w:rsidRPr="00372081" w:rsidRDefault="00237C97" w:rsidP="00372081">
      <w:pPr>
        <w:pStyle w:val="Default"/>
        <w:spacing w:before="120" w:after="120" w:line="276" w:lineRule="auto"/>
        <w:jc w:val="both"/>
        <w:rPr>
          <w:rFonts w:ascii="Arial" w:eastAsia="Times New Roman" w:hAnsi="Arial" w:cs="Arial"/>
          <w:color w:val="auto"/>
          <w:sz w:val="22"/>
          <w:szCs w:val="22"/>
        </w:rPr>
      </w:pP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Pr>
          <w:rFonts w:ascii="Arial" w:hAnsi="Arial"/>
          <w:color w:val="auto"/>
          <w:sz w:val="22"/>
          <w:szCs w:val="22"/>
        </w:rPr>
        <w:t xml:space="preserve">• Ekimenaren bidez konpondu nahi diren arazoak.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Pr>
          <w:rFonts w:ascii="Arial" w:hAnsi="Arial"/>
          <w:color w:val="auto"/>
          <w:sz w:val="22"/>
          <w:szCs w:val="22"/>
        </w:rPr>
        <w:t xml:space="preserve">• Ekimena onartzeko premia eta aukera. </w:t>
      </w:r>
    </w:p>
    <w:p w:rsidR="006779F4" w:rsidRPr="00372081" w:rsidRDefault="00DA72A6" w:rsidP="00372081">
      <w:pPr>
        <w:pStyle w:val="Default"/>
        <w:spacing w:before="120" w:after="120" w:line="276" w:lineRule="auto"/>
        <w:ind w:left="709"/>
        <w:rPr>
          <w:rFonts w:ascii="Arial" w:eastAsia="Times New Roman" w:hAnsi="Arial" w:cs="Arial"/>
          <w:color w:val="auto"/>
          <w:sz w:val="22"/>
          <w:szCs w:val="22"/>
        </w:rPr>
      </w:pPr>
      <w:r>
        <w:rPr>
          <w:rFonts w:ascii="Arial" w:hAnsi="Arial"/>
          <w:color w:val="auto"/>
          <w:sz w:val="22"/>
          <w:szCs w:val="22"/>
        </w:rPr>
        <w:t xml:space="preserve">• Arauaren helburua. </w:t>
      </w:r>
    </w:p>
    <w:p w:rsidR="006779F4" w:rsidRDefault="006779F4" w:rsidP="00372081">
      <w:pPr>
        <w:pStyle w:val="Default"/>
        <w:spacing w:before="120" w:after="120" w:line="276" w:lineRule="auto"/>
        <w:ind w:left="709"/>
        <w:rPr>
          <w:rFonts w:ascii="Arial" w:eastAsia="Times New Roman" w:hAnsi="Arial" w:cs="Arial"/>
          <w:color w:val="auto"/>
          <w:sz w:val="22"/>
          <w:szCs w:val="22"/>
        </w:rPr>
      </w:pPr>
      <w:r>
        <w:rPr>
          <w:rFonts w:ascii="Arial" w:hAnsi="Arial"/>
          <w:color w:val="auto"/>
          <w:sz w:val="22"/>
          <w:szCs w:val="22"/>
        </w:rPr>
        <w:t xml:space="preserve">• Bestelako aukera posibleak, arauzkoak eta ez-arauzkoak. </w:t>
      </w:r>
    </w:p>
    <w:p w:rsidR="006654B7" w:rsidRDefault="006654B7" w:rsidP="00372081">
      <w:pPr>
        <w:pStyle w:val="Default"/>
        <w:spacing w:before="120" w:after="120" w:line="276" w:lineRule="auto"/>
        <w:ind w:left="709"/>
        <w:rPr>
          <w:rFonts w:ascii="Arial" w:eastAsia="Times New Roman" w:hAnsi="Arial" w:cs="Arial"/>
          <w:color w:val="auto"/>
          <w:sz w:val="22"/>
          <w:szCs w:val="22"/>
        </w:rPr>
      </w:pPr>
    </w:p>
    <w:tbl>
      <w:tblPr>
        <w:tblStyle w:val="Saretaduntaula"/>
        <w:tblW w:w="0" w:type="auto"/>
        <w:tblInd w:w="108" w:type="dxa"/>
        <w:tblLook w:val="04A0" w:firstRow="1" w:lastRow="0" w:firstColumn="1" w:lastColumn="0" w:noHBand="0" w:noVBand="1"/>
      </w:tblPr>
      <w:tblGrid>
        <w:gridCol w:w="2099"/>
        <w:gridCol w:w="6287"/>
      </w:tblGrid>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Pr>
                <w:rFonts w:ascii="Arial" w:hAnsi="Arial"/>
                <w:b/>
                <w:color w:val="auto"/>
                <w:sz w:val="22"/>
                <w:szCs w:val="22"/>
              </w:rPr>
              <w:t>Arauaren aurrekariak</w:t>
            </w:r>
          </w:p>
        </w:tc>
        <w:tc>
          <w:tcPr>
            <w:tcW w:w="6485" w:type="dxa"/>
            <w:shd w:val="clear" w:color="auto" w:fill="D6E3BC" w:themeFill="accent3" w:themeFillTint="66"/>
          </w:tcPr>
          <w:p w:rsidR="006654B7" w:rsidRDefault="005F172F" w:rsidP="005F172F">
            <w:pPr>
              <w:pStyle w:val="Default"/>
              <w:spacing w:before="120" w:after="120" w:line="276" w:lineRule="auto"/>
              <w:jc w:val="both"/>
              <w:rPr>
                <w:rFonts w:ascii="Arial" w:eastAsia="Times New Roman" w:hAnsi="Arial" w:cs="Arial"/>
                <w:color w:val="auto"/>
                <w:sz w:val="22"/>
                <w:szCs w:val="22"/>
              </w:rPr>
            </w:pPr>
            <w:r>
              <w:rPr>
                <w:rFonts w:ascii="Arial" w:hAnsi="Arial"/>
                <w:color w:val="auto"/>
                <w:sz w:val="22"/>
                <w:szCs w:val="22"/>
              </w:rPr>
              <w:t xml:space="preserve">189/2008 Dekretua, azaroaren 18koa, garapen lankidetzarako «Ignacio Ellacuría» saria sortu eta arautzen duena. </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Pr>
                <w:rFonts w:ascii="Arial" w:hAnsi="Arial"/>
                <w:b/>
                <w:color w:val="auto"/>
                <w:sz w:val="22"/>
                <w:szCs w:val="22"/>
              </w:rPr>
              <w:t>Konpondu nahi diren arazoak</w:t>
            </w:r>
          </w:p>
        </w:tc>
        <w:tc>
          <w:tcPr>
            <w:tcW w:w="6485" w:type="dxa"/>
            <w:shd w:val="clear" w:color="auto" w:fill="D6E3BC" w:themeFill="accent3" w:themeFillTint="66"/>
          </w:tcPr>
          <w:p w:rsidR="006654B7" w:rsidRDefault="006654B7" w:rsidP="005F172F">
            <w:pPr>
              <w:pStyle w:val="Default"/>
              <w:spacing w:before="120" w:after="120"/>
              <w:jc w:val="both"/>
              <w:rPr>
                <w:rFonts w:ascii="Arial" w:eastAsia="Times New Roman" w:hAnsi="Arial" w:cs="Arial"/>
                <w:color w:val="auto"/>
                <w:sz w:val="22"/>
                <w:szCs w:val="22"/>
              </w:rPr>
            </w:pPr>
            <w:r>
              <w:rPr>
                <w:rFonts w:ascii="Arial" w:hAnsi="Arial"/>
                <w:color w:val="auto"/>
                <w:sz w:val="22"/>
                <w:szCs w:val="22"/>
              </w:rPr>
              <w:t>1. Garapenerako Lankidetzaren Euskal Agentziaren errealitate juridikora egokitzea dekretua. Gaur egun indarrean dagoen araua argitaratu zenetik gertatu diren arau-aldaketa berrietara egokitu behar da. Adibidez, Garapenerako Lankidetzaren Euskal Agentziaren sorrera 5/2008 Legearen bidez (Garapenerako Lankidetzaren Euskal Agentzia sortu era arautzen duena); urriaren 9ko 140/2018 Dekretua, Garapenerako Lankidetzako Eragileen Euskal Autonomia Erkidegoko Erregistroa sortu eta arautzekoa; eta urriaren 1eko 39/2015 Legea, Administrazio Publikoen Administrazio Prozedura Erkideari buruzkoa.</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Pr>
                <w:rFonts w:ascii="Arial" w:hAnsi="Arial"/>
                <w:b/>
                <w:color w:val="auto"/>
                <w:sz w:val="22"/>
                <w:szCs w:val="22"/>
              </w:rPr>
              <w:t>Ekimena onartzeko premia eta aukera.</w:t>
            </w:r>
          </w:p>
        </w:tc>
        <w:tc>
          <w:tcPr>
            <w:tcW w:w="6485" w:type="dxa"/>
            <w:shd w:val="clear" w:color="auto" w:fill="D6E3BC" w:themeFill="accent3" w:themeFillTint="66"/>
          </w:tcPr>
          <w:p w:rsidR="006654B7" w:rsidRPr="006654B7" w:rsidRDefault="006654B7" w:rsidP="006654B7">
            <w:pPr>
              <w:pStyle w:val="Default"/>
              <w:spacing w:before="120" w:after="120" w:line="276" w:lineRule="auto"/>
              <w:jc w:val="both"/>
              <w:rPr>
                <w:rFonts w:ascii="Arial" w:eastAsia="Times New Roman" w:hAnsi="Arial" w:cs="Arial"/>
                <w:color w:val="auto"/>
                <w:sz w:val="22"/>
                <w:szCs w:val="22"/>
              </w:rPr>
            </w:pPr>
            <w:r>
              <w:rPr>
                <w:rFonts w:ascii="Arial" w:hAnsi="Arial"/>
                <w:b/>
                <w:color w:val="auto"/>
                <w:sz w:val="22"/>
                <w:szCs w:val="22"/>
              </w:rPr>
              <w:t>Premia</w:t>
            </w:r>
            <w:r>
              <w:rPr>
                <w:color w:val="auto"/>
                <w:sz w:val="22"/>
                <w:szCs w:val="22"/>
              </w:rPr>
              <w:t xml:space="preserve">: </w:t>
            </w:r>
            <w:r>
              <w:rPr>
                <w:rFonts w:ascii="Arial" w:hAnsi="Arial"/>
                <w:color w:val="auto"/>
                <w:sz w:val="22"/>
                <w:szCs w:val="22"/>
              </w:rPr>
              <w:t>arautze berria izatea garrantzitsua da, azaldutako arrazoiez gainera, lankidetza taldeka egiteko zeregina dela eta Hegoaldeko pertsonek eta kolektiboek gauzatzen dutela azpimarratzeko.</w:t>
            </w:r>
          </w:p>
          <w:p w:rsidR="006654B7" w:rsidRDefault="006654B7" w:rsidP="00CB5805">
            <w:pPr>
              <w:pStyle w:val="Default"/>
              <w:spacing w:before="120" w:after="120" w:line="276" w:lineRule="auto"/>
              <w:jc w:val="both"/>
              <w:rPr>
                <w:rFonts w:ascii="Arial" w:eastAsia="Times New Roman" w:hAnsi="Arial" w:cs="Arial"/>
                <w:color w:val="auto"/>
                <w:sz w:val="22"/>
                <w:szCs w:val="22"/>
              </w:rPr>
            </w:pPr>
            <w:r>
              <w:rPr>
                <w:rFonts w:ascii="Arial" w:hAnsi="Arial"/>
                <w:b/>
                <w:color w:val="auto"/>
                <w:sz w:val="22"/>
                <w:szCs w:val="22"/>
              </w:rPr>
              <w:t>Aukera</w:t>
            </w:r>
            <w:r>
              <w:rPr>
                <w:color w:val="auto"/>
                <w:sz w:val="22"/>
                <w:szCs w:val="22"/>
              </w:rPr>
              <w:t xml:space="preserve">: </w:t>
            </w:r>
            <w:r>
              <w:rPr>
                <w:rFonts w:ascii="Arial" w:hAnsi="Arial"/>
                <w:color w:val="auto"/>
                <w:sz w:val="22"/>
                <w:szCs w:val="22"/>
              </w:rPr>
              <w:t>Aipatu den 189/2008 Dekretua argitaratu zenetik denbora luzea igaro da eta, denbora horretan, aipatu arauetan aldaketak egin dira. Beraz, saria arautuko duen arau berria prestatu behar da, herrialde txiroenekin elkartasunez jardun duten pertsonen ibilbidea aitortzeko.</w:t>
            </w:r>
          </w:p>
        </w:tc>
      </w:tr>
      <w:tr w:rsidR="006654B7" w:rsidTr="006654B7">
        <w:tc>
          <w:tcPr>
            <w:tcW w:w="2127" w:type="dxa"/>
            <w:shd w:val="clear" w:color="auto" w:fill="DAEEF3" w:themeFill="accent5" w:themeFillTint="33"/>
          </w:tcPr>
          <w:p w:rsidR="006654B7" w:rsidRDefault="006654B7" w:rsidP="00372081">
            <w:pPr>
              <w:pStyle w:val="Default"/>
              <w:spacing w:before="120" w:after="120" w:line="276" w:lineRule="auto"/>
              <w:rPr>
                <w:rFonts w:ascii="Arial" w:eastAsia="Times New Roman" w:hAnsi="Arial" w:cs="Arial"/>
                <w:color w:val="auto"/>
                <w:sz w:val="22"/>
                <w:szCs w:val="22"/>
              </w:rPr>
            </w:pPr>
            <w:r>
              <w:rPr>
                <w:rFonts w:ascii="Arial" w:hAnsi="Arial"/>
                <w:b/>
                <w:color w:val="auto"/>
                <w:sz w:val="22"/>
                <w:szCs w:val="22"/>
              </w:rPr>
              <w:lastRenderedPageBreak/>
              <w:t>Arauaren xedeak</w:t>
            </w:r>
          </w:p>
        </w:tc>
        <w:tc>
          <w:tcPr>
            <w:tcW w:w="6485" w:type="dxa"/>
            <w:shd w:val="clear" w:color="auto" w:fill="D6E3BC" w:themeFill="accent3" w:themeFillTint="66"/>
          </w:tcPr>
          <w:p w:rsidR="00CB5805" w:rsidRPr="00CB5805" w:rsidRDefault="006654B7" w:rsidP="00CB5805">
            <w:pPr>
              <w:jc w:val="both"/>
              <w:rPr>
                <w:rFonts w:ascii="Arial" w:eastAsia="Times New Roman" w:hAnsi="Arial" w:cs="Arial"/>
              </w:rPr>
            </w:pPr>
            <w:r>
              <w:rPr>
                <w:rFonts w:ascii="Arial" w:hAnsi="Arial"/>
              </w:rPr>
              <w:t>Arautu nahi den arauaren xedea Ignacio Ellacuría izeneko saria arautzea da, sari horren bidez ezagutzera ematen direlako erakundeek, kolektiboek eta banakoek herrien berdintasunaren eta justiziaren alde eta txirotasuna gainditzeko asmoz egiten dituzten ekintza azpimarragarriak; horrez gain, sariaren bidez haien ekarpenak zabaltzen dira, euskal gizartea eta nazioarteko gizartea sentsibilizatzen lagunduz.</w:t>
            </w:r>
          </w:p>
          <w:p w:rsidR="006654B7" w:rsidRDefault="00CB5805" w:rsidP="00AC21E4">
            <w:pPr>
              <w:spacing w:before="120" w:after="120"/>
              <w:jc w:val="both"/>
              <w:rPr>
                <w:rFonts w:ascii="Arial" w:eastAsia="Times New Roman" w:hAnsi="Arial" w:cs="Arial"/>
              </w:rPr>
            </w:pPr>
            <w:r>
              <w:rPr>
                <w:rFonts w:ascii="Arial" w:hAnsi="Arial"/>
              </w:rPr>
              <w:t>Pertsona fisikoentzat eta juridikoentzat da saria, Hegoaldeko herrietan justizia eta garapena lortzeko asmoz ekarpen garrantzitsua eta azpimarragarria egin duten pertsonentzat, hain zuzen.</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Pr>
                <w:rFonts w:ascii="Arial" w:hAnsi="Arial"/>
                <w:b/>
                <w:color w:val="auto"/>
                <w:sz w:val="22"/>
                <w:szCs w:val="22"/>
              </w:rPr>
              <w:t>Bestelako aukerak, arautzekoak eta arautzekoak ez direnak</w:t>
            </w:r>
          </w:p>
        </w:tc>
        <w:tc>
          <w:tcPr>
            <w:tcW w:w="6485" w:type="dxa"/>
            <w:shd w:val="clear" w:color="auto" w:fill="D6E3BC" w:themeFill="accent3" w:themeFillTint="66"/>
          </w:tcPr>
          <w:p w:rsidR="006654B7" w:rsidRDefault="006654B7" w:rsidP="00372081">
            <w:pPr>
              <w:pStyle w:val="Default"/>
              <w:spacing w:before="120" w:after="120" w:line="276" w:lineRule="auto"/>
              <w:rPr>
                <w:rFonts w:ascii="Arial" w:eastAsia="Times New Roman" w:hAnsi="Arial" w:cs="Arial"/>
                <w:color w:val="auto"/>
                <w:sz w:val="22"/>
                <w:szCs w:val="22"/>
              </w:rPr>
            </w:pPr>
            <w:r>
              <w:rPr>
                <w:rFonts w:ascii="Arial" w:hAnsi="Arial"/>
                <w:color w:val="auto"/>
                <w:sz w:val="22"/>
                <w:szCs w:val="22"/>
              </w:rPr>
              <w:t>Azaldutakoa dela bide, ezinbestekoa da neurri espezifiko arautzailea egitea, eta ezin daiteke beste aukerarik aztertu.</w:t>
            </w:r>
          </w:p>
        </w:tc>
      </w:tr>
    </w:tbl>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Pr="00372081" w:rsidRDefault="006654B7" w:rsidP="00372081">
      <w:pPr>
        <w:pStyle w:val="Default"/>
        <w:spacing w:before="120" w:after="120" w:line="276" w:lineRule="auto"/>
        <w:ind w:left="709"/>
        <w:rPr>
          <w:rFonts w:ascii="Arial" w:eastAsia="Times New Roman" w:hAnsi="Arial" w:cs="Arial"/>
          <w:color w:val="auto"/>
          <w:sz w:val="22"/>
          <w:szCs w:val="22"/>
        </w:rPr>
      </w:pPr>
    </w:p>
    <w:p w:rsidR="00226A44" w:rsidRPr="00310CFB" w:rsidRDefault="00226A44" w:rsidP="00372081">
      <w:pPr>
        <w:pStyle w:val="Default"/>
        <w:spacing w:before="120" w:after="120" w:line="276" w:lineRule="auto"/>
        <w:rPr>
          <w:color w:val="auto"/>
          <w:sz w:val="22"/>
          <w:szCs w:val="22"/>
        </w:rPr>
      </w:pPr>
    </w:p>
    <w:p w:rsidR="000A24B6" w:rsidRPr="00310CFB" w:rsidRDefault="000A24B6" w:rsidP="00170392">
      <w:pPr>
        <w:pStyle w:val="Default"/>
        <w:spacing w:before="120" w:after="120" w:line="276" w:lineRule="auto"/>
        <w:rPr>
          <w:rFonts w:asciiTheme="minorHAnsi" w:eastAsiaTheme="minorEastAsia" w:hAnsi="Candara" w:cstheme="minorBidi"/>
          <w:b/>
          <w:color w:val="auto"/>
          <w:kern w:val="24"/>
          <w:sz w:val="21"/>
          <w:szCs w:val="21"/>
          <w:lang w:eastAsia="es-ES"/>
        </w:rPr>
      </w:pPr>
    </w:p>
    <w:p w:rsidR="00F109C3" w:rsidRPr="00310CFB" w:rsidRDefault="00F109C3" w:rsidP="006779F4">
      <w:pPr>
        <w:pStyle w:val="Default"/>
        <w:rPr>
          <w:color w:val="auto"/>
          <w:sz w:val="22"/>
          <w:szCs w:val="22"/>
        </w:rPr>
      </w:pPr>
    </w:p>
    <w:p w:rsidR="007D4664" w:rsidRPr="00310CFB" w:rsidRDefault="007D4664" w:rsidP="006779F4">
      <w:pPr>
        <w:pStyle w:val="Default"/>
        <w:rPr>
          <w:color w:val="auto"/>
          <w:sz w:val="22"/>
          <w:szCs w:val="22"/>
        </w:rPr>
      </w:pPr>
    </w:p>
    <w:p w:rsidR="006779F4" w:rsidRPr="00372081" w:rsidRDefault="006779F4" w:rsidP="0012092F">
      <w:pPr>
        <w:pStyle w:val="Default"/>
        <w:spacing w:before="120" w:after="120" w:line="276" w:lineRule="auto"/>
        <w:ind w:firstLine="708"/>
        <w:rPr>
          <w:rFonts w:ascii="Arial" w:eastAsia="Times New Roman" w:hAnsi="Arial" w:cs="Arial"/>
          <w:b/>
          <w:color w:val="auto"/>
          <w:sz w:val="22"/>
          <w:szCs w:val="22"/>
        </w:rPr>
      </w:pPr>
    </w:p>
    <w:p w:rsidR="00865035" w:rsidRDefault="00865035" w:rsidP="00170392">
      <w:pPr>
        <w:pStyle w:val="Default"/>
        <w:spacing w:before="120" w:after="120" w:line="276" w:lineRule="auto"/>
        <w:jc w:val="both"/>
        <w:rPr>
          <w:color w:val="auto"/>
          <w:sz w:val="22"/>
          <w:szCs w:val="22"/>
        </w:rPr>
      </w:pPr>
    </w:p>
    <w:sectPr w:rsidR="008650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09" w:rsidRDefault="00D15C09" w:rsidP="0080292C">
      <w:pPr>
        <w:spacing w:after="0" w:line="240" w:lineRule="auto"/>
      </w:pPr>
      <w:r>
        <w:separator/>
      </w:r>
    </w:p>
  </w:endnote>
  <w:endnote w:type="continuationSeparator" w:id="0">
    <w:p w:rsidR="00D15C09" w:rsidRDefault="00D15C09"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24913"/>
      <w:docPartObj>
        <w:docPartGallery w:val="Page Numbers (Bottom of Page)"/>
        <w:docPartUnique/>
      </w:docPartObj>
    </w:sdtPr>
    <w:sdtEndPr/>
    <w:sdtContent>
      <w:p w:rsidR="00826CA1" w:rsidRDefault="00826CA1">
        <w:pPr>
          <w:pStyle w:val="Orri-oina"/>
          <w:jc w:val="right"/>
        </w:pPr>
        <w:r>
          <w:fldChar w:fldCharType="begin"/>
        </w:r>
        <w:r>
          <w:instrText>PAGE   \* MERGEFORMAT</w:instrText>
        </w:r>
        <w:r>
          <w:fldChar w:fldCharType="separate"/>
        </w:r>
        <w:r w:rsidR="005658FD">
          <w:rPr>
            <w:noProof/>
          </w:rPr>
          <w:t>1</w:t>
        </w:r>
        <w:r>
          <w:fldChar w:fldCharType="end"/>
        </w:r>
      </w:p>
    </w:sdtContent>
  </w:sdt>
  <w:p w:rsidR="00826CA1" w:rsidRDefault="00826CA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09" w:rsidRDefault="00D15C09" w:rsidP="0080292C">
      <w:pPr>
        <w:spacing w:after="0" w:line="240" w:lineRule="auto"/>
      </w:pPr>
      <w:r>
        <w:separator/>
      </w:r>
    </w:p>
  </w:footnote>
  <w:footnote w:type="continuationSeparator" w:id="0">
    <w:p w:rsidR="00D15C09" w:rsidRDefault="00D15C09" w:rsidP="0080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FB" w:rsidRDefault="00310CFB" w:rsidP="00310CFB">
    <w:pPr>
      <w:pStyle w:val="Goiburua"/>
      <w:jc w:val="center"/>
    </w:pPr>
    <w:r>
      <w:rPr>
        <w:rFonts w:ascii="Arial" w:hAnsi="Arial"/>
        <w:noProof/>
        <w:sz w:val="16"/>
        <w:lang w:val="es-ES" w:eastAsia="es-ES"/>
      </w:rPr>
      <w:drawing>
        <wp:inline distT="0" distB="0" distL="0" distR="0" wp14:anchorId="6919FD0E" wp14:editId="250DF2A1">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rsidR="00310CFB" w:rsidRDefault="00310CFB" w:rsidP="00310CFB">
    <w:pPr>
      <w:pStyle w:val="Goiburu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7930"/>
    <w:rsid w:val="00064C0E"/>
    <w:rsid w:val="00071937"/>
    <w:rsid w:val="00081E9B"/>
    <w:rsid w:val="000836C1"/>
    <w:rsid w:val="000A24B6"/>
    <w:rsid w:val="000B7A1A"/>
    <w:rsid w:val="000D120C"/>
    <w:rsid w:val="000D68BA"/>
    <w:rsid w:val="000F5F30"/>
    <w:rsid w:val="00103799"/>
    <w:rsid w:val="0012092F"/>
    <w:rsid w:val="00134028"/>
    <w:rsid w:val="001417DE"/>
    <w:rsid w:val="00170392"/>
    <w:rsid w:val="00173E41"/>
    <w:rsid w:val="00194C10"/>
    <w:rsid w:val="001B226C"/>
    <w:rsid w:val="001B3A1D"/>
    <w:rsid w:val="001B6414"/>
    <w:rsid w:val="001F5C15"/>
    <w:rsid w:val="001F7723"/>
    <w:rsid w:val="002050C5"/>
    <w:rsid w:val="00207EDF"/>
    <w:rsid w:val="00226A44"/>
    <w:rsid w:val="00237C97"/>
    <w:rsid w:val="0026228C"/>
    <w:rsid w:val="0026764F"/>
    <w:rsid w:val="002A1248"/>
    <w:rsid w:val="002B7CD5"/>
    <w:rsid w:val="002C632D"/>
    <w:rsid w:val="00310CFB"/>
    <w:rsid w:val="00372081"/>
    <w:rsid w:val="00403603"/>
    <w:rsid w:val="00405B9E"/>
    <w:rsid w:val="00425975"/>
    <w:rsid w:val="004266C7"/>
    <w:rsid w:val="004C36DB"/>
    <w:rsid w:val="004E0B46"/>
    <w:rsid w:val="00513E23"/>
    <w:rsid w:val="00541F4A"/>
    <w:rsid w:val="00545E5B"/>
    <w:rsid w:val="005658FD"/>
    <w:rsid w:val="00565C0D"/>
    <w:rsid w:val="0058482E"/>
    <w:rsid w:val="0059124D"/>
    <w:rsid w:val="005913F4"/>
    <w:rsid w:val="005E4F35"/>
    <w:rsid w:val="005F172F"/>
    <w:rsid w:val="006156B7"/>
    <w:rsid w:val="006654B7"/>
    <w:rsid w:val="006779F4"/>
    <w:rsid w:val="006B5E8E"/>
    <w:rsid w:val="006D47F0"/>
    <w:rsid w:val="00725C35"/>
    <w:rsid w:val="00755D6E"/>
    <w:rsid w:val="00757FF2"/>
    <w:rsid w:val="00791485"/>
    <w:rsid w:val="007D4664"/>
    <w:rsid w:val="0080292C"/>
    <w:rsid w:val="00826CA1"/>
    <w:rsid w:val="00831DC8"/>
    <w:rsid w:val="00856395"/>
    <w:rsid w:val="00865035"/>
    <w:rsid w:val="00873F0D"/>
    <w:rsid w:val="00876954"/>
    <w:rsid w:val="008C160E"/>
    <w:rsid w:val="008C1F61"/>
    <w:rsid w:val="008D6281"/>
    <w:rsid w:val="0092251C"/>
    <w:rsid w:val="009362EC"/>
    <w:rsid w:val="009A679B"/>
    <w:rsid w:val="009B5735"/>
    <w:rsid w:val="009C124C"/>
    <w:rsid w:val="00A14689"/>
    <w:rsid w:val="00A230EE"/>
    <w:rsid w:val="00A47F79"/>
    <w:rsid w:val="00A5515D"/>
    <w:rsid w:val="00A5751E"/>
    <w:rsid w:val="00A674CB"/>
    <w:rsid w:val="00A906F1"/>
    <w:rsid w:val="00A91FF9"/>
    <w:rsid w:val="00AC21E4"/>
    <w:rsid w:val="00AF251A"/>
    <w:rsid w:val="00B959A0"/>
    <w:rsid w:val="00BA7FC9"/>
    <w:rsid w:val="00BE5FD7"/>
    <w:rsid w:val="00BF4EA9"/>
    <w:rsid w:val="00C01BE6"/>
    <w:rsid w:val="00C122FE"/>
    <w:rsid w:val="00C17C1E"/>
    <w:rsid w:val="00C22598"/>
    <w:rsid w:val="00C57B4B"/>
    <w:rsid w:val="00CB298C"/>
    <w:rsid w:val="00CB5805"/>
    <w:rsid w:val="00CD5345"/>
    <w:rsid w:val="00CF46DE"/>
    <w:rsid w:val="00D0392F"/>
    <w:rsid w:val="00D15C09"/>
    <w:rsid w:val="00D16E36"/>
    <w:rsid w:val="00D17586"/>
    <w:rsid w:val="00D34B09"/>
    <w:rsid w:val="00D36016"/>
    <w:rsid w:val="00D47D46"/>
    <w:rsid w:val="00D64134"/>
    <w:rsid w:val="00DA3495"/>
    <w:rsid w:val="00DA72A6"/>
    <w:rsid w:val="00DB4519"/>
    <w:rsid w:val="00E06623"/>
    <w:rsid w:val="00E22692"/>
    <w:rsid w:val="00E22B43"/>
    <w:rsid w:val="00E43B09"/>
    <w:rsid w:val="00ED4BAC"/>
    <w:rsid w:val="00F109C3"/>
    <w:rsid w:val="00F24A3C"/>
    <w:rsid w:val="00F51DA6"/>
    <w:rsid w:val="00F56DD4"/>
    <w:rsid w:val="00F7522A"/>
    <w:rsid w:val="00F87B7C"/>
    <w:rsid w:val="00F9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E7CA2-8806-44F7-B827-CC5A5E5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rPr>
  </w:style>
  <w:style w:type="character" w:customStyle="1" w:styleId="Gorputz-testuaKar">
    <w:name w:val="Gorputz-testua Kar"/>
    <w:basedOn w:val="Paragrafoarenletra-tipolehenetsia"/>
    <w:link w:val="Gorputz-testua"/>
    <w:uiPriority w:val="1"/>
    <w:rsid w:val="000B7A1A"/>
    <w:rPr>
      <w:rFonts w:ascii="Arial" w:eastAsia="Arial" w:hAnsi="Arial"/>
      <w:lang w:val="eu-E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2242</Characters>
  <Application>Microsoft Office Word</Application>
  <DocSecurity>0</DocSecurity>
  <Lines>18</Lines>
  <Paragraphs>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Ispizua Zuazua, Alfredo</dc:creator>
  <cp:lastModifiedBy>Amenabar Sancho, Iosu</cp:lastModifiedBy>
  <cp:revision>2</cp:revision>
  <cp:lastPrinted>2018-11-23T09:01:00Z</cp:lastPrinted>
  <dcterms:created xsi:type="dcterms:W3CDTF">2019-10-14T07:47:00Z</dcterms:created>
  <dcterms:modified xsi:type="dcterms:W3CDTF">2019-10-14T07:47:00Z</dcterms:modified>
</cp:coreProperties>
</file>